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CC 2025 47 vom 28. November 2025</w:t>
      </w:r>
    </w:p>
    <w:p>
      <w:r>
        <w:t>JU Tribunal cantonal, 2025-11-28, FR</w:t>
      </w:r>
    </w:p>
    <w:p>
      <w:r>
        <w:rPr>
          <w:b/>
        </w:rPr>
        <w:t xml:space="preserve">Quelle: </w:t>
      </w:r>
      <w:r>
        <w:t>https://mcp.opencaselaw.ch/entscheid/ju_gerichte_CC 2025 47</w:t>
      </w:r>
    </w:p>
    <w:p>
      <w:r>
        <w:t>FR: JU_GERICHTE CC 2025 47 du 28 novembre 2025</w:t>
      </w:r>
    </w:p>
    <w:p>
      <w:r>
        <w:t>IT: JU_GERICHTE CC 2025 47 del 28 novembre 2025</w:t>
      </w:r>
    </w:p>
    <w:p>
      <w:pPr>
        <w:pStyle w:val="Heading2"/>
      </w:pPr>
      <w:r>
        <w:t>Erwägungen</w:t>
      </w:r>
    </w:p>
    <w:p>
      <w:r>
        <w:rPr>
          <w:b/>
        </w:rPr>
        <w:t>E. 13</w:t>
      </w:r>
    </w:p>
    <w:p>
      <w:r>
        <w:t>dans le cadre de la procédure pendante devant les autorités U1.________ selon la PJ qu’elle a produite en première instance. A défaut de toute motivation sur les raisons du retard, qu’elle admet, il convient de retenir que l’appelante n’a pas rendu suffisamment crédibles ses objections. Dans cette mesure, elle ne peut faire échec à la preuve du cas clair. Peu importe dès lors que le paiement des intérêts non perçus repose sur l’art. 109 al. 1 ou al. 2 CO. En effet, dans la mesure où les objections de l’appelante relative à son absence de faute sont sans fondement, l’application du droit conduit dans les deux cas à un résultat identique sans ambiguïté. Pour le reste, l’appelante ne critique ni le montant ni le dies a quo des intérêts. Il s’ensuit que l’intimée, s’étant valablement départie du contrat qui la liait avec l’appelante, peut répéter les montants des acomptes qu’elle a payé et réclamer un intérêt sur lesdits montants, à hauteur de 5% dès la date de leur versement. 4.3.3. Partant, la décision entreprise consacrant une juste application de la loi dans son résultat, l’appel doit être rejeté sur ce point et ladite décision confirmée, par substitution de motif. 5. Enfin, s’agissant des frais et dépens de première instance, l’appelante se plaint d’une violation de l’art. 106 al. 1 et 2 CPC, dans la mesure où l’intimée a réduit ses conclusions, ce qui correspond à un désistement partiel. Une part des frais judiciaires devait donc être laissée à la charge de cette dernière, qui ne pouvait obtenir une pleine indemnité de dépens pour la même raison. La Cour civile constate toutefois que l’appelante a manifestement fait un copier-coller du mémoire d’appel qu’elle a déposé dans une procédure similaire où la partie adverse a légèrement réduit ses conclusions en cours de procédure (cf. CC 48/2025), ce qui n’est toutefois pas le cas dans la présente procédure. Son grief doit ainsi être rejeté sans autre examen. 6. Les frais de la présente procédure doivent être mis à la charge de l’appelante, qui succombe (art. 106 al. 1 CPC). Cette dernière doit par ailleurs être condamnée au paiement des dépens de l’intimée, dépens qu’il convient de taxer conformément à l’ordonnance fixant le tarif des honoraires d’avocat (RSJU 188.61 ; art. 13 al. 1 let. a et b) et à la note d’honoraires produite par l’intimée qui n’a fait l’objet d’aucune critique.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